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61C" w:rsidRDefault="0025361C">
      <w:pPr>
        <w:spacing w:before="240" w:after="72" w:line="360" w:lineRule="auto"/>
        <w:jc w:val="center"/>
        <w:rPr>
          <w:rFonts w:asciiTheme="minorEastAsia" w:eastAsiaTheme="minorEastAsia" w:hAnsiTheme="minorEastAsia"/>
        </w:rPr>
      </w:pPr>
    </w:p>
    <w:p w:rsidR="0025361C" w:rsidRDefault="0025361C">
      <w:pPr>
        <w:spacing w:before="240" w:after="72" w:line="360" w:lineRule="auto"/>
        <w:jc w:val="center"/>
        <w:rPr>
          <w:rFonts w:asciiTheme="minorEastAsia" w:eastAsiaTheme="minorEastAsia" w:hAnsiTheme="minorEastAsia"/>
        </w:rPr>
      </w:pPr>
    </w:p>
    <w:p w:rsidR="0025361C" w:rsidRDefault="0025361C">
      <w:pPr>
        <w:spacing w:before="240" w:after="72" w:line="360" w:lineRule="auto"/>
        <w:jc w:val="center"/>
        <w:rPr>
          <w:rFonts w:asciiTheme="minorEastAsia" w:eastAsiaTheme="minorEastAsia" w:hAnsiTheme="minorEastAsia"/>
        </w:rPr>
      </w:pPr>
    </w:p>
    <w:p w:rsidR="0025361C" w:rsidRDefault="00CD5DF8">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南银理财珠联璧合行稳1902半年定开公募人民币理财产品</w:t>
      </w:r>
    </w:p>
    <w:p w:rsidR="0025361C" w:rsidRDefault="00CD5DF8">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1</w:t>
      </w:r>
      <w:r>
        <w:rPr>
          <w:rFonts w:ascii="方正黑体简体" w:eastAsia="方正黑体简体" w:hAnsi="Calibri" w:hint="eastAsia"/>
          <w:sz w:val="36"/>
        </w:rPr>
        <w:t>季度报告</w:t>
      </w:r>
    </w:p>
    <w:p w:rsidR="0025361C" w:rsidRDefault="0025361C">
      <w:pPr>
        <w:spacing w:before="240" w:after="72" w:line="360" w:lineRule="auto"/>
        <w:jc w:val="center"/>
        <w:rPr>
          <w:rFonts w:ascii="方正黑体简体" w:eastAsia="方正黑体简体"/>
          <w:sz w:val="36"/>
          <w:szCs w:val="36"/>
        </w:rPr>
      </w:pPr>
    </w:p>
    <w:p w:rsidR="0025361C" w:rsidRDefault="0025361C">
      <w:pPr>
        <w:spacing w:before="240" w:after="72" w:line="360" w:lineRule="auto"/>
        <w:jc w:val="center"/>
        <w:rPr>
          <w:rFonts w:ascii="方正黑体简体" w:eastAsia="方正黑体简体"/>
          <w:sz w:val="36"/>
          <w:szCs w:val="36"/>
        </w:rPr>
      </w:pPr>
    </w:p>
    <w:p w:rsidR="0025361C" w:rsidRDefault="0025361C">
      <w:pPr>
        <w:spacing w:before="240" w:after="72" w:line="360" w:lineRule="auto"/>
        <w:jc w:val="center"/>
        <w:rPr>
          <w:rFonts w:ascii="方正黑体简体" w:eastAsia="方正黑体简体"/>
          <w:sz w:val="36"/>
          <w:szCs w:val="36"/>
        </w:rPr>
      </w:pPr>
    </w:p>
    <w:p w:rsidR="0025361C" w:rsidRDefault="0025361C">
      <w:pPr>
        <w:spacing w:before="240" w:after="72" w:line="360" w:lineRule="auto"/>
        <w:jc w:val="center"/>
        <w:rPr>
          <w:rFonts w:ascii="方正黑体简体" w:eastAsia="方正黑体简体"/>
          <w:sz w:val="36"/>
          <w:szCs w:val="36"/>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25361C" w:rsidRDefault="0025361C">
      <w:pPr>
        <w:spacing w:before="240" w:after="72" w:line="360" w:lineRule="auto"/>
        <w:jc w:val="center"/>
        <w:rPr>
          <w:rFonts w:ascii="方正黑体简体" w:eastAsia="方正黑体简体"/>
          <w:sz w:val="36"/>
          <w:szCs w:val="36"/>
        </w:rPr>
      </w:pPr>
    </w:p>
    <w:p w:rsidR="0025361C" w:rsidRDefault="00CD5DF8">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6065"/>
      </w:tblGrid>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产品全称</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南银理财珠联璧合行稳1902半年定开公募人民币理财产品</w:t>
            </w:r>
          </w:p>
        </w:tc>
      </w:tr>
      <w:tr w:rsidR="0025361C">
        <w:trPr>
          <w:trHeight w:val="1207"/>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产品登记编码</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Z7003221000030</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产品运作方式</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开放式净值型</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产品成立日</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2019年02月27日</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报告期末产品份额总额</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860,778,114.23</w:t>
            </w:r>
            <w:r>
              <w:rPr>
                <w:rFonts w:ascii="方正仿宋简体" w:eastAsia="方正仿宋简体" w:hint="eastAsia"/>
                <w:sz w:val="24"/>
                <w:szCs w:val="24"/>
              </w:rPr>
              <w:t>份</w:t>
            </w:r>
          </w:p>
        </w:tc>
      </w:tr>
      <w:tr w:rsidR="0025361C">
        <w:trPr>
          <w:trHeight w:val="639"/>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合作机构</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中诚信托有限责任公司,国投泰康信托有限公司</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产品管理人</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南银理财有限责任公司</w:t>
            </w:r>
          </w:p>
        </w:tc>
      </w:tr>
      <w:tr w:rsidR="0025361C">
        <w:trPr>
          <w:trHeight w:val="663"/>
        </w:trPr>
        <w:tc>
          <w:tcPr>
            <w:tcW w:w="2894"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产品托管人</w:t>
            </w:r>
          </w:p>
        </w:tc>
        <w:tc>
          <w:tcPr>
            <w:tcW w:w="6065" w:type="dxa"/>
            <w:vAlign w:val="center"/>
          </w:tcPr>
          <w:p w:rsidR="0025361C" w:rsidRDefault="00CD5DF8" w:rsidP="005E567C">
            <w:pPr>
              <w:snapToGrid/>
              <w:spacing w:beforeLines="20" w:afterLines="20"/>
              <w:rPr>
                <w:rFonts w:ascii="方正仿宋简体" w:eastAsia="方正仿宋简体"/>
                <w:sz w:val="24"/>
                <w:szCs w:val="24"/>
              </w:rPr>
            </w:pPr>
            <w:r>
              <w:rPr>
                <w:rFonts w:ascii="方正仿宋简体" w:eastAsia="方正仿宋简体" w:hint="eastAsia"/>
                <w:sz w:val="24"/>
                <w:szCs w:val="24"/>
              </w:rPr>
              <w:t>南京银行股份有限公司</w:t>
            </w:r>
          </w:p>
        </w:tc>
      </w:tr>
    </w:tbl>
    <w:p w:rsidR="0025361C" w:rsidRDefault="0025361C">
      <w:pPr>
        <w:spacing w:before="240" w:after="72" w:line="360" w:lineRule="auto"/>
        <w:rPr>
          <w:rFonts w:ascii="方正仿宋_GBK" w:eastAsia="方正仿宋_GBK" w:hAnsi="宋体" w:cs="宋体"/>
          <w:kern w:val="0"/>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主要财务指标和产品业绩比较基准</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25361C" w:rsidRDefault="00CD5DF8">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296"/>
        <w:gridCol w:w="2705"/>
        <w:gridCol w:w="2030"/>
        <w:gridCol w:w="2036"/>
      </w:tblGrid>
      <w:tr w:rsidR="0025361C">
        <w:trPr>
          <w:trHeight w:val="613"/>
          <w:jc w:val="center"/>
        </w:trPr>
        <w:tc>
          <w:tcPr>
            <w:tcW w:w="2296" w:type="dxa"/>
            <w:vMerge w:val="restart"/>
            <w:vAlign w:val="center"/>
          </w:tcPr>
          <w:p w:rsidR="0025361C" w:rsidRDefault="00CD5DF8" w:rsidP="005E567C">
            <w:pPr>
              <w:spacing w:beforeLines="20" w:afterLines="2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6771" w:type="dxa"/>
            <w:gridSpan w:val="3"/>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2026年01月01日 - 2026年03月31日</w:t>
            </w:r>
            <w:r>
              <w:rPr>
                <w:rFonts w:ascii="方正仿宋简体" w:eastAsia="方正仿宋简体" w:hint="eastAsia"/>
                <w:sz w:val="24"/>
                <w:szCs w:val="24"/>
              </w:rPr>
              <w:t>）</w:t>
            </w:r>
          </w:p>
        </w:tc>
      </w:tr>
      <w:tr w:rsidR="0025361C">
        <w:trPr>
          <w:trHeight w:val="1664"/>
          <w:jc w:val="center"/>
        </w:trPr>
        <w:tc>
          <w:tcPr>
            <w:tcW w:w="2296" w:type="dxa"/>
            <w:vMerge/>
            <w:vAlign w:val="center"/>
          </w:tcPr>
          <w:p w:rsidR="0025361C" w:rsidRDefault="0025361C" w:rsidP="005E567C">
            <w:pPr>
              <w:spacing w:beforeLines="20" w:afterLines="20" w:line="360" w:lineRule="auto"/>
              <w:jc w:val="center"/>
              <w:rPr>
                <w:rFonts w:ascii="方正仿宋简体" w:eastAsia="方正仿宋简体"/>
                <w:sz w:val="24"/>
                <w:szCs w:val="24"/>
              </w:rPr>
            </w:pPr>
          </w:p>
        </w:tc>
        <w:tc>
          <w:tcPr>
            <w:tcW w:w="2705"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030"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036"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57"/>
          <w:jc w:val="center"/>
        </w:trPr>
        <w:tc>
          <w:tcPr>
            <w:tcW w:w="229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Z10023</w:t>
            </w:r>
          </w:p>
        </w:tc>
        <w:tc>
          <w:tcPr>
            <w:tcW w:w="2705"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871,794,002.20</w:t>
            </w:r>
          </w:p>
        </w:tc>
        <w:tc>
          <w:tcPr>
            <w:tcW w:w="2030"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1.0127</w:t>
            </w:r>
          </w:p>
        </w:tc>
        <w:tc>
          <w:tcPr>
            <w:tcW w:w="2036" w:type="dxa"/>
            <w:vAlign w:val="center"/>
            <w:vAlign w:val="center"/>
          </w:tcPr>
          <w:p>
            <w:pPr>
              <w:spacing w:beforeLines="20"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1.2781</w:t>
            </w:r>
          </w:p>
        </w:tc>
      </w:tr>
    </w:tbl>
    <w:p w:rsidR="0025361C" w:rsidRDefault="00CD5DF8">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2.2.1</w:t>
      </w:r>
      <w:r>
        <w:rPr>
          <w:rFonts w:ascii="方正仿宋简体" w:eastAsia="方正仿宋简体" w:hint="eastAsia"/>
          <w:b/>
          <w:sz w:val="24"/>
          <w:szCs w:val="24"/>
        </w:rPr>
        <w:t>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4485"/>
        <w:gridCol w:w="2095"/>
        <w:gridCol w:w="2322"/>
      </w:tblGrid>
      <w:tr w:rsidR="0025361C">
        <w:trPr>
          <w:jc w:val="center"/>
        </w:trPr>
        <w:tc>
          <w:tcPr>
            <w:tcW w:w="4485"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阶段</w:t>
            </w:r>
          </w:p>
        </w:tc>
        <w:tc>
          <w:tcPr>
            <w:tcW w:w="2095"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2322" w:type="dxa"/>
            <w:vAlign w:val="center"/>
          </w:tcPr>
          <w:p w:rsidR="0025361C" w:rsidRDefault="00CD5DF8" w:rsidP="005E567C">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业绩比较基准</w:t>
            </w:r>
          </w:p>
        </w:tc>
      </w:tr>
      <w:tr>
        <w:trPr>
          <w:jc w:val="center"/>
        </w:trPr>
        <w:tc>
          <w:tcPr>
            <w:tcW w:w="448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2026年01月01日 - 2026年03月31日</w:t>
            </w:r>
          </w:p>
        </w:tc>
        <w:tc>
          <w:tcPr>
            <w:tcW w:w="2095"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Z10023</w:t>
            </w:r>
          </w:p>
        </w:tc>
        <w:tc>
          <w:tcPr>
            <w:tcW w:w="2322" w:type="dxa"/>
            <w:vAlign w:val="center"/>
            <w:vAlign w:val="center"/>
          </w:tcPr>
          <w:p>
            <w:pPr>
              <w:snapToGrid/>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0.15%</w:t>
            </w:r>
          </w:p>
        </w:tc>
      </w:tr>
    </w:tbl>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r>
        <w:rPr>
          <w:rFonts w:ascii="方正仿宋简体" w:eastAsia="方正仿宋简体" w:hint="eastAsia"/>
          <w:b/>
          <w:sz w:val="24"/>
          <w:szCs w:val="24"/>
        </w:rPr>
        <w:tab/>
      </w:r>
    </w:p>
    <w:p w:rsidR="0025361C" w:rsidRDefault="00CD5DF8">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一季度债市呈现牛陡走势，短端收益率下行显著，长端保持韧性。经济基本面稳中有升，规模以上工业企业利润同比增长15.2%，CPI温和回升至1.3%，PPI增速连续5个月环比回升，制造业PMI重回扩张区间，进出口数据亮眼但内需修复温和，为债市提供支撑。央行实施精准宽松，资金利率中枢下行。国际上，美伊冲突推高油价引发滞胀担忧，中国债市展现避险韧性。机构配置积极，银行、保险开门红进场，公募增持短久期品种。市场表现上， 10年期下行3BP至1.82%，长端受经济复苏预期、权益走强等扰动，波动有所加大。</w:t>
        <w:br w:type="textWrapping" w:clear="all"/>
      </w:r>
      <w:r>
        <w:rPr>
          <w:rFonts w:ascii="方正仿宋简体" w:eastAsia="方正仿宋简体" w:hint="eastAsia"/>
          <w:sz w:val="24"/>
          <w:szCs w:val="24"/>
        </w:rPr>
        <w:t>  展望二季度，债市大概率呈区间震荡格局。经济基本面预计温和修复，国际地缘冲突与美联储降息节奏扰动仍存，输入性通胀压力显现，长端受通胀及经济预期扰动波动加大，整体需把握结构性机会。央行将维持适度宽松，操作上，抓住调整窗口积极进行票息布局。</w:t>
        <w:br w:type="textWrapping" w:clear="all"/>
      </w:r>
      <w:r>
        <w:rPr>
          <w:rFonts w:ascii="方正仿宋简体" w:eastAsia="方正仿宋简体" w:hint="eastAsia"/>
          <w:sz w:val="24"/>
          <w:szCs w:val="24"/>
        </w:rPr>
        <w:t>  今年一季度产品操作稳健偏积极。一季度债券市场走势震荡偏强，利率债区间横盘震荡、信用债则表现亮眼，信用利差持续压缩，其中中短端表现更优。虽然机构对于未来通胀预期抬升、一季度经济数据呈现较好的韧性等有一定担忧，但资金面整体维持宽松，非银流动性也保持充裕，利率债在利空冲击面前波动整体可控。一季度产品运作过程中操作从去年四季度的防守转向积极，把握了利率及二级资本债的交易机会，产品层面提升了杠杆及久期水平以跟上市场涨幅。市场上涨过程中减持了部分性价比偏弱的个券降低低效仓位，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25361C" w:rsidRDefault="00CD5DF8">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25361C" w:rsidRDefault="00CD5DF8">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份额净值为1.0127</w:t>
      </w:r>
      <w:r>
        <w:rPr>
          <w:rFonts w:ascii="方正仿宋简体" w:eastAsia="方正仿宋简体" w:hint="eastAsia"/>
          <w:sz w:val="24"/>
          <w:szCs w:val="24"/>
        </w:rPr>
        <w:t>元。</w:t>
      </w:r>
    </w:p>
    <w:p w:rsidR="0025361C" w:rsidRDefault="0025361C">
      <w:pPr>
        <w:spacing w:before="240" w:after="72" w:line="360" w:lineRule="auto"/>
        <w:rPr>
          <w:rFonts w:ascii="方正仿宋_GBK" w:eastAsia="方正仿宋_GBK" w:hAnsi="宋体"/>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99.46%</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0.54%</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25361C">
        <w:tc>
          <w:tcPr>
            <w:tcW w:w="745"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25361C">
        <w:trPr>
          <w:trHeight w:val="1233"/>
          <w:jc w:val="center"/>
        </w:trPr>
        <w:tc>
          <w:tcPr>
            <w:tcW w:w="750"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中诚信托-日日升7号集合资金信托计划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87,398,550.42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256089</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24世纪02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51,101,550.00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43,688,129.40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133661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23武进05</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40,460,480.00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133657</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23城铁债</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40,404,120.00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032400985</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24隆博投资PPN002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40,373,960.00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032380391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23汉盛建设PPN001(项目收益)</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40,063,520.00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256101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24近湖01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31,296,300.00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255813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24淮建01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30,826,170.00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256216</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24驻产04</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30,687,150.00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3.52</w:t>
            </w:r>
          </w:p>
        </w:tc>
      </w:tr>
    </w:tbl>
    <w:p w:rsidR="0025361C" w:rsidRDefault="0025361C">
      <w:pPr>
        <w:spacing w:before="240" w:after="72" w:line="360" w:lineRule="auto"/>
        <w:rPr>
          <w:rFonts w:ascii="方正仿宋_GBK" w:eastAsia="方正仿宋_GBK" w:hAnsi="宋体" w:cs="宋体"/>
          <w:sz w:val="24"/>
          <w:szCs w:val="24"/>
          <w:shd w:val="clear" w:color="auto" w:fill="FFFFFF"/>
        </w:rPr>
      </w:pPr>
    </w:p>
    <w:p w:rsidR="0025361C" w:rsidRDefault="00CD5DF8">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63"/>
        <w:gridCol w:w="1671"/>
        <w:gridCol w:w="1252"/>
        <w:gridCol w:w="1511"/>
        <w:gridCol w:w="1357"/>
        <w:gridCol w:w="1248"/>
        <w:gridCol w:w="1000"/>
      </w:tblGrid>
      <w:tr w:rsidR="0025361C">
        <w:trPr>
          <w:trHeight w:val="1078"/>
          <w:jc w:val="center"/>
        </w:trPr>
        <w:tc>
          <w:tcPr>
            <w:tcW w:w="863"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671"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5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11"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5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48"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1000"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6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25361C">
      <w:pPr>
        <w:spacing w:before="240" w:after="72" w:line="360" w:lineRule="auto"/>
        <w:rPr>
          <w:rFonts w:ascii="方正仿宋_GBK" w:eastAsia="方正仿宋_GBK" w:hAnsi="宋体" w:cs="宋体"/>
          <w:sz w:val="24"/>
          <w:szCs w:val="24"/>
          <w:shd w:val="clear" w:color="auto" w:fill="FFFFFF"/>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696"/>
        <w:gridCol w:w="1567"/>
        <w:gridCol w:w="2668"/>
        <w:gridCol w:w="1983"/>
        <w:gridCol w:w="1988"/>
      </w:tblGrid>
      <w:tr w:rsidR="0025361C">
        <w:trPr>
          <w:trHeight w:val="584"/>
          <w:jc w:val="center"/>
        </w:trPr>
        <w:tc>
          <w:tcPr>
            <w:tcW w:w="696"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6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69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0120030000000256</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南京银行行稳1902半年定开</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25361C" w:rsidRDefault="0025361C">
      <w:pPr>
        <w:spacing w:before="240" w:after="72" w:line="360" w:lineRule="auto"/>
        <w:rPr>
          <w:rFonts w:ascii="方正仿宋_GBK" w:eastAsia="方正仿宋_GBK"/>
          <w:sz w:val="24"/>
          <w:szCs w:val="24"/>
        </w:rPr>
      </w:pPr>
    </w:p>
    <w:p w:rsidR="0025361C" w:rsidRDefault="00CD5DF8">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25361C" w:rsidRDefault="005E567C">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CD5DF8">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25361C">
        <w:trPr>
          <w:trHeight w:val="534"/>
          <w:jc w:val="center"/>
        </w:trPr>
        <w:tc>
          <w:tcPr>
            <w:tcW w:w="877"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25361C">
        <w:trPr>
          <w:trHeight w:val="534"/>
          <w:jc w:val="center"/>
        </w:trPr>
        <w:tc>
          <w:tcPr>
            <w:tcW w:w="877" w:type="dxa"/>
            <w:vMerge/>
            <w:vAlign w:val="center"/>
          </w:tcPr>
          <w:p w:rsidR="0025361C" w:rsidRDefault="0025361C" w:rsidP="005E567C">
            <w:pPr>
              <w:spacing w:beforeLines="20" w:afterLines="20"/>
              <w:jc w:val="center"/>
            </w:pPr>
          </w:p>
        </w:tc>
        <w:tc>
          <w:tcPr>
            <w:tcW w:w="1704" w:type="dxa"/>
            <w:vMerge/>
            <w:vAlign w:val="center"/>
          </w:tcPr>
          <w:p w:rsidR="0025361C" w:rsidRDefault="0025361C" w:rsidP="005E567C">
            <w:pPr>
              <w:spacing w:beforeLines="20" w:afterLines="20"/>
              <w:jc w:val="center"/>
            </w:pPr>
          </w:p>
        </w:tc>
        <w:tc>
          <w:tcPr>
            <w:tcW w:w="1275" w:type="dxa"/>
            <w:vMerge/>
            <w:vAlign w:val="center"/>
          </w:tcPr>
          <w:p w:rsidR="0025361C" w:rsidRDefault="0025361C" w:rsidP="005E567C">
            <w:pPr>
              <w:spacing w:beforeLines="20" w:afterLines="20"/>
              <w:jc w:val="center"/>
            </w:pPr>
          </w:p>
        </w:tc>
        <w:tc>
          <w:tcPr>
            <w:tcW w:w="1540" w:type="dxa"/>
            <w:vMerge/>
            <w:vAlign w:val="center"/>
          </w:tcPr>
          <w:p w:rsidR="0025361C" w:rsidRDefault="0025361C" w:rsidP="005E567C">
            <w:pPr>
              <w:spacing w:beforeLines="20" w:afterLines="20"/>
              <w:jc w:val="center"/>
            </w:pP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8C4C5A">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6.</w:t>
      </w:r>
      <w:r w:rsidR="00CD5DF8">
        <w:rPr>
          <w:rFonts w:ascii="方正仿宋简体" w:eastAsia="方正仿宋简体" w:hint="eastAsia"/>
          <w:b/>
          <w:sz w:val="24"/>
          <w:szCs w:val="24"/>
        </w:rPr>
        <w:t>2</w:t>
      </w:r>
      <w:r w:rsidR="00CD5DF8">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25361C">
        <w:trPr>
          <w:trHeight w:val="534"/>
          <w:jc w:val="center"/>
        </w:trPr>
        <w:tc>
          <w:tcPr>
            <w:tcW w:w="877"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25361C">
        <w:trPr>
          <w:trHeight w:val="534"/>
          <w:jc w:val="center"/>
        </w:trPr>
        <w:tc>
          <w:tcPr>
            <w:tcW w:w="877" w:type="dxa"/>
            <w:vMerge/>
            <w:vAlign w:val="center"/>
          </w:tcPr>
          <w:p w:rsidR="0025361C" w:rsidRDefault="0025361C" w:rsidP="005E567C">
            <w:pPr>
              <w:spacing w:beforeLines="20" w:afterLines="20"/>
              <w:jc w:val="center"/>
            </w:pPr>
          </w:p>
        </w:tc>
        <w:tc>
          <w:tcPr>
            <w:tcW w:w="1704" w:type="dxa"/>
            <w:vMerge/>
            <w:vAlign w:val="center"/>
          </w:tcPr>
          <w:p w:rsidR="0025361C" w:rsidRDefault="0025361C" w:rsidP="005E567C">
            <w:pPr>
              <w:spacing w:beforeLines="20" w:afterLines="20"/>
              <w:jc w:val="center"/>
            </w:pPr>
          </w:p>
        </w:tc>
        <w:tc>
          <w:tcPr>
            <w:tcW w:w="1275" w:type="dxa"/>
            <w:vMerge/>
            <w:vAlign w:val="center"/>
          </w:tcPr>
          <w:p w:rsidR="0025361C" w:rsidRDefault="0025361C" w:rsidP="005E567C">
            <w:pPr>
              <w:spacing w:beforeLines="20" w:afterLines="20"/>
              <w:jc w:val="center"/>
            </w:pPr>
          </w:p>
        </w:tc>
        <w:tc>
          <w:tcPr>
            <w:tcW w:w="1540" w:type="dxa"/>
            <w:vMerge/>
            <w:vAlign w:val="center"/>
          </w:tcPr>
          <w:p w:rsidR="0025361C" w:rsidRDefault="0025361C" w:rsidP="005E567C">
            <w:pPr>
              <w:spacing w:beforeLines="20" w:afterLines="20"/>
              <w:jc w:val="center"/>
            </w:pP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88219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CD5DF8">
        <w:rPr>
          <w:rFonts w:ascii="方正仿宋简体" w:eastAsia="方正仿宋简体" w:hint="eastAsia"/>
          <w:b/>
          <w:sz w:val="24"/>
          <w:szCs w:val="24"/>
        </w:rPr>
        <w:t>3</w:t>
      </w:r>
      <w:r w:rsidR="00CD5DF8">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25361C">
        <w:trPr>
          <w:trHeight w:val="534"/>
          <w:jc w:val="center"/>
        </w:trPr>
        <w:tc>
          <w:tcPr>
            <w:tcW w:w="877"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25361C">
        <w:trPr>
          <w:trHeight w:val="534"/>
          <w:jc w:val="center"/>
        </w:trPr>
        <w:tc>
          <w:tcPr>
            <w:tcW w:w="877" w:type="dxa"/>
            <w:vMerge/>
            <w:vAlign w:val="center"/>
          </w:tcPr>
          <w:p w:rsidR="0025361C" w:rsidRDefault="0025361C" w:rsidP="005E567C">
            <w:pPr>
              <w:spacing w:beforeLines="20" w:afterLines="20"/>
              <w:jc w:val="center"/>
            </w:pPr>
          </w:p>
        </w:tc>
        <w:tc>
          <w:tcPr>
            <w:tcW w:w="1704" w:type="dxa"/>
            <w:vMerge/>
            <w:vAlign w:val="center"/>
          </w:tcPr>
          <w:p w:rsidR="0025361C" w:rsidRDefault="0025361C" w:rsidP="005E567C">
            <w:pPr>
              <w:spacing w:beforeLines="20" w:afterLines="20"/>
              <w:jc w:val="center"/>
            </w:pPr>
          </w:p>
        </w:tc>
        <w:tc>
          <w:tcPr>
            <w:tcW w:w="1275" w:type="dxa"/>
            <w:vMerge/>
            <w:vAlign w:val="center"/>
          </w:tcPr>
          <w:p w:rsidR="0025361C" w:rsidRDefault="0025361C" w:rsidP="005E567C">
            <w:pPr>
              <w:spacing w:beforeLines="20" w:afterLines="20"/>
              <w:jc w:val="center"/>
            </w:pPr>
          </w:p>
        </w:tc>
        <w:tc>
          <w:tcPr>
            <w:tcW w:w="1540" w:type="dxa"/>
            <w:vMerge/>
            <w:vAlign w:val="center"/>
          </w:tcPr>
          <w:p w:rsidR="0025361C" w:rsidRDefault="0025361C" w:rsidP="005E567C">
            <w:pPr>
              <w:spacing w:beforeLines="20" w:afterLines="20"/>
              <w:jc w:val="center"/>
            </w:pP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25361C" w:rsidRDefault="0088219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CD5DF8">
        <w:rPr>
          <w:rFonts w:ascii="方正仿宋简体" w:eastAsia="方正仿宋简体" w:hint="eastAsia"/>
          <w:b/>
          <w:sz w:val="24"/>
          <w:szCs w:val="24"/>
        </w:rPr>
        <w:t>4</w:t>
      </w:r>
      <w:r w:rsidR="00CD5DF8">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25361C">
        <w:trPr>
          <w:trHeight w:val="1048"/>
          <w:jc w:val="center"/>
        </w:trPr>
        <w:tc>
          <w:tcPr>
            <w:tcW w:w="87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25361C" w:rsidRDefault="00CD5DF8" w:rsidP="005E567C">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429402.77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42728.01</w:t>
            </w:r>
          </w:p>
        </w:tc>
      </w:tr>
    </w:tbl>
    <w:p w:rsidR="0025361C" w:rsidRDefault="0025361C">
      <w:pPr>
        <w:spacing w:before="240" w:after="72" w:line="360" w:lineRule="auto"/>
        <w:rPr>
          <w:rFonts w:ascii="方正仿宋_GBK" w:eastAsia="方正仿宋_GBK" w:hAnsi="宋体" w:cs="宋体"/>
          <w:kern w:val="0"/>
          <w:sz w:val="24"/>
          <w:szCs w:val="24"/>
        </w:rPr>
      </w:pPr>
    </w:p>
    <w:p w:rsidR="0025361C" w:rsidRDefault="0025361C">
      <w:pPr>
        <w:spacing w:before="240" w:after="72" w:line="360" w:lineRule="auto"/>
        <w:jc w:val="right"/>
        <w:rPr>
          <w:rFonts w:ascii="方正仿宋_GBK" w:eastAsia="方正仿宋_GBK"/>
          <w:b/>
          <w:sz w:val="24"/>
          <w:szCs w:val="24"/>
        </w:rPr>
      </w:pPr>
    </w:p>
    <w:p w:rsidR="0025361C" w:rsidRDefault="00CD5DF8">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25361C" w:rsidRDefault="00CD5DF8">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2026年03月31日</w:t>
      </w:r>
    </w:p>
    <w:sectPr w:rsidR="0025361C" w:rsidSect="0025361C">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5DF8" w:rsidRDefault="00CD5DF8" w:rsidP="005E567C">
      <w:pPr>
        <w:spacing w:after="72"/>
      </w:pPr>
      <w:r>
        <w:separator/>
      </w:r>
    </w:p>
  </w:endnote>
  <w:endnote w:type="continuationSeparator" w:id="1">
    <w:p w:rsidR="00CD5DF8" w:rsidRDefault="00CD5DF8" w:rsidP="005E567C">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3"/>
      <w:framePr w:wrap="around" w:vAnchor="text" w:hAnchor="margin" w:xAlign="center" w:y="1"/>
      <w:spacing w:after="72"/>
      <w:rPr>
        <w:rStyle w:val="a6"/>
      </w:rPr>
    </w:pPr>
    <w:r>
      <w:fldChar w:fldCharType="begin"/>
    </w:r>
    <w:r w:rsidR="00CD5DF8">
      <w:rPr>
        <w:rStyle w:val="a6"/>
      </w:rPr>
      <w:instrText xml:space="preserve">PAGE  </w:instrText>
    </w:r>
    <w:r>
      <w:fldChar w:fldCharType="end"/>
    </w:r>
  </w:p>
  <w:p w:rsidR="0025361C" w:rsidRDefault="0025361C">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5DF8" w:rsidRDefault="00CD5DF8" w:rsidP="005E567C">
      <w:pPr>
        <w:spacing w:after="72"/>
      </w:pPr>
      <w:r>
        <w:separator/>
      </w:r>
    </w:p>
  </w:footnote>
  <w:footnote w:type="continuationSeparator" w:id="1">
    <w:p w:rsidR="00CD5DF8" w:rsidRDefault="00CD5DF8" w:rsidP="005E567C">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361C" w:rsidRDefault="0025361C">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5361C"/>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E567C"/>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2199"/>
    <w:rsid w:val="008833A7"/>
    <w:rsid w:val="00894D12"/>
    <w:rsid w:val="008C4C5A"/>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CD5DF8"/>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3B967EA1"/>
    <w:rsid w:val="4D550AEB"/>
    <w:rsid w:val="509470EC"/>
    <w:rsid w:val="59E74023"/>
    <w:rsid w:val="5A73269D"/>
    <w:rsid w:val="5BFB5547"/>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61C"/>
    <w:pPr>
      <w:widowControl w:val="0"/>
      <w:snapToGrid w:val="0"/>
      <w:spacing w:afterLines="30"/>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25361C"/>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25361C"/>
    <w:pPr>
      <w:pBdr>
        <w:bottom w:val="single" w:sz="6" w:space="1" w:color="auto"/>
      </w:pBdr>
      <w:tabs>
        <w:tab w:val="center" w:pos="4153"/>
        <w:tab w:val="right" w:pos="8306"/>
      </w:tabs>
      <w:jc w:val="center"/>
    </w:pPr>
    <w:rPr>
      <w:sz w:val="18"/>
      <w:szCs w:val="18"/>
    </w:rPr>
  </w:style>
  <w:style w:type="paragraph" w:styleId="a5">
    <w:name w:val="Normal (Web)"/>
    <w:basedOn w:val="a"/>
    <w:qFormat/>
    <w:rsid w:val="0025361C"/>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25361C"/>
  </w:style>
  <w:style w:type="character" w:customStyle="1" w:styleId="Char">
    <w:name w:val="页脚 Char"/>
    <w:link w:val="a3"/>
    <w:uiPriority w:val="99"/>
    <w:qFormat/>
    <w:locked/>
    <w:rsid w:val="0025361C"/>
    <w:rPr>
      <w:rFonts w:ascii="Times New Roman" w:hAnsi="Times New Roman" w:cs="Times New Roman"/>
      <w:sz w:val="18"/>
      <w:szCs w:val="18"/>
    </w:rPr>
  </w:style>
  <w:style w:type="character" w:customStyle="1" w:styleId="Char1">
    <w:name w:val="页脚 Char1"/>
    <w:basedOn w:val="a0"/>
    <w:uiPriority w:val="99"/>
    <w:semiHidden/>
    <w:qFormat/>
    <w:rsid w:val="0025361C"/>
    <w:rPr>
      <w:rFonts w:ascii="Times New Roman" w:eastAsia="宋体" w:hAnsi="Times New Roman" w:cs="Times New Roman"/>
      <w:sz w:val="18"/>
      <w:szCs w:val="18"/>
    </w:rPr>
  </w:style>
  <w:style w:type="paragraph" w:customStyle="1" w:styleId="biaogeleft">
    <w:name w:val="biaoge_left"/>
    <w:basedOn w:val="a"/>
    <w:qFormat/>
    <w:rsid w:val="0025361C"/>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25361C"/>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25361C"/>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25361C"/>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25361C"/>
    <w:pPr>
      <w:jc w:val="both"/>
    </w:pPr>
    <w:rPr>
      <w:kern w:val="2"/>
      <w:sz w:val="21"/>
      <w:szCs w:val="21"/>
    </w:rPr>
  </w:style>
  <w:style w:type="paragraph" w:customStyle="1" w:styleId="biaogeright">
    <w:name w:val="biaoge_right"/>
    <w:basedOn w:val="a"/>
    <w:qFormat/>
    <w:rsid w:val="0025361C"/>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25361C"/>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25361C"/>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25361C"/>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25361C"/>
    <w:rPr>
      <w:rFonts w:ascii="Times New Roman" w:eastAsia="宋体" w:hAnsi="Times New Roman" w:cs="Times New Roman"/>
      <w:sz w:val="18"/>
      <w:szCs w:val="18"/>
    </w:rPr>
  </w:style>
  <w:style w:type="paragraph" w:customStyle="1" w:styleId="10">
    <w:name w:val="列出段落1"/>
    <w:basedOn w:val="a"/>
    <w:uiPriority w:val="99"/>
    <w:qFormat/>
    <w:rsid w:val="0025361C"/>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420</Words>
  <Characters>2399</Characters>
  <Application>Microsoft Office Word</Application>
  <DocSecurity>0</DocSecurity>
  <Lines>19</Lines>
  <Paragraphs>5</Paragraphs>
  <ScaleCrop>false</ScaleCrop>
  <Company>cc</Company>
  <LinksUpToDate>false</LinksUpToDate>
  <CharactersWithSpaces>2814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yytx</cp:lastModifiedBy>
  <dcterms:modified xsi:type="dcterms:W3CDTF">2026-03-27T09:10:00Z</dcterms:modified>
  <cp:revision>127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DA7D07A671F94F61B430BF557E8AE20F</vt:lpwstr>
  </property>
</Properties>
</file>